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Lexend" w:cs="Lexend" w:eastAsia="Lexend" w:hAnsi="Lexend"/>
          <w:b/>
          <w:bCs/>
          <w:i w:val="false"/>
          <w:iCs w:val="false"/>
          <w:color w:val="099260"/>
          <w:sz w:val="18"/>
          <w:szCs w:val="18"/>
        </w:rPr>
        <w:t xml:space="preserve">WORKPROVE</w:t>
      </w:r>
    </w:p>
    <w:p>
      <w:pPr>
        <w:spacing w:after="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36"/>
          <w:szCs w:val="36"/>
        </w:rPr>
        <w:t xml:space="preserve">Standard Operating Procedure</w:t>
      </w:r>
    </w:p>
    <w:p>
      <w:pPr>
        <w:spacing w:after="60"/>
      </w:pPr>
      <w:r>
        <w:rPr>
          <w:rFonts w:ascii="Lexend" w:cs="Lexend" w:eastAsia="Lexend" w:hAnsi="Lexend"/>
          <w:b w:val="false"/>
          <w:bCs w:val="false"/>
          <w:i/>
          <w:iCs/>
          <w:color w:val="6C7280"/>
          <w:sz w:val="18"/>
          <w:szCs w:val="18"/>
        </w:rPr>
        <w:t xml:space="preserve">Template. Replace every bracketed prompt with your own detail.</w:t>
      </w:r>
    </w:p>
    <w:p>
      <w:pPr>
        <w:pBdr>
          <w:bottom w:val="single" w:color="099260" w:sz="6"/>
        </w:pBdr>
        <w:spacing w:after="105" w:before="50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1A1A1A"/>
          <w:sz w:val="2"/>
          <w:szCs w:val="2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73"/>
        <w:gridCol w:w="1700"/>
        <w:gridCol w:w="3173"/>
      </w:tblGrid>
      <w:tr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SOP title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SOP ID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Version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Supersedes version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Review date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Written by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Site / area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Roles covered</w:t>
            </w:r>
          </w:p>
        </w:tc>
        <w:tc>
          <w:tcPr>
            <w:tcW w:type="dxa" w:w="317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1. Purpose</w:t>
      </w:r>
    </w:p>
    <w:p>
      <w:pPr>
        <w:spacing w:after="80" w:before="0"/>
        <w:jc w:val="left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6C7280"/>
          <w:sz w:val="18"/>
          <w:szCs w:val="18"/>
        </w:rPr>
        <w:t xml:space="preserve">[What this procedure achieves and why it exists. One or two sentences.]</w:t>
      </w:r>
    </w:p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2. Scope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346"/>
      </w:tblGrid>
      <w:tr>
        <w:tc>
          <w:tcPr>
            <w:tcW w:type="dxa" w:w="24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This procedure covers</w:t>
            </w:r>
          </w:p>
        </w:tc>
        <w:tc>
          <w:tcPr>
            <w:tcW w:type="dxa" w:w="73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3E9FF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It does not cover</w:t>
            </w:r>
          </w:p>
        </w:tc>
        <w:tc>
          <w:tcPr>
            <w:tcW w:type="dxa" w:w="73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3. Roles and responsibilities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746"/>
      </w:tblGrid>
      <w:tr>
        <w:tc>
          <w:tcPr>
            <w:tcW w:type="dxa" w:w="30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746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Responsibility in this procedure</w:t>
            </w:r>
          </w:p>
        </w:tc>
      </w:tr>
      <w:tr>
        <w:tc>
          <w:tcPr>
            <w:tcW w:type="dxa" w:w="3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67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67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4. Equipment, materials and PPE</w:t>
      </w:r>
    </w:p>
    <w:p>
      <w:pPr>
        <w:spacing w:after="80" w:before="0"/>
        <w:jc w:val="left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6C7280"/>
          <w:sz w:val="18"/>
          <w:szCs w:val="18"/>
        </w:rPr>
        <w:t xml:space="preserve">[List what is needed. Include protective equipment only where it is specific to this task.]</w:t>
      </w:r>
    </w:p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5. Risks and prerequisites</w:t>
      </w:r>
    </w:p>
    <w:p>
      <w:pPr>
        <w:spacing w:after="80" w:before="0"/>
        <w:jc w:val="left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6C7280"/>
          <w:sz w:val="18"/>
          <w:szCs w:val="18"/>
        </w:rPr>
        <w:t xml:space="preserve">[Task risks from the risk assessment, and the checks required before starting. Keep this at the top, not buried in the steps.]</w:t>
      </w:r>
    </w:p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6. Procedure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600"/>
        <w:gridCol w:w="3200"/>
        <w:gridCol w:w="1246"/>
      </w:tblGrid>
      <w:tr>
        <w:tc>
          <w:tcPr>
            <w:tcW w:type="dxa" w:w="7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46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32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How to confirm it is done correctly</w:t>
            </w:r>
          </w:p>
        </w:tc>
        <w:tc>
          <w:tcPr>
            <w:tcW w:type="dxa" w:w="1246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By</w:t>
            </w:r>
          </w:p>
        </w:tc>
      </w:tr>
      <w:tr>
        <w:tc>
          <w:tcPr>
            <w:tcW w:type="dxa" w:w="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5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5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5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5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4</w:t>
            </w:r>
          </w:p>
        </w:tc>
        <w:tc>
          <w:tcPr>
            <w:tcW w:type="dxa" w:w="4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5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5</w:t>
            </w:r>
          </w:p>
        </w:tc>
        <w:tc>
          <w:tcPr>
            <w:tcW w:type="dxa" w:w="4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7. Monitoring and records</w:t>
      </w:r>
    </w:p>
    <w:p>
      <w:pPr>
        <w:spacing w:after="80" w:before="0"/>
        <w:jc w:val="left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6C7280"/>
          <w:sz w:val="18"/>
          <w:szCs w:val="18"/>
        </w:rPr>
        <w:t xml:space="preserve">[What is recorded, by whom, how often, and where the record is kept.]</w:t>
      </w:r>
    </w:p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8. Corrective action</w:t>
      </w:r>
    </w:p>
    <w:p>
      <w:pPr>
        <w:spacing w:after="80" w:before="0"/>
        <w:jc w:val="left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6C7280"/>
          <w:sz w:val="18"/>
          <w:szCs w:val="18"/>
        </w:rPr>
        <w:t xml:space="preserve">[What to do when a step cannot be completed as written, and who to escalate to.]</w:t>
      </w:r>
    </w:p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9. Revision history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250"/>
        <w:gridCol w:w="3900"/>
        <w:gridCol w:w="1800"/>
        <w:gridCol w:w="1746"/>
      </w:tblGrid>
      <w:tr>
        <w:tc>
          <w:tcPr>
            <w:tcW w:type="dxa" w:w="105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25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39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18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1746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Retraining needed</w:t>
            </w:r>
          </w:p>
        </w:tc>
      </w:tr>
      <w:tr>
        <w:tc>
          <w:tcPr>
            <w:tcW w:type="dxa" w:w="10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9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9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pacing w:after="0"/>
      </w:pPr>
      <w:r>
        <w:rPr>
          <w:rFonts w:ascii="Lexend" w:cs="Lexend" w:eastAsia="Lexend" w:hAnsi="Lexend"/>
          <w:b/>
          <w:bCs/>
          <w:i w:val="false"/>
          <w:iCs w:val="false"/>
          <w:color w:val="099260"/>
          <w:sz w:val="18"/>
          <w:szCs w:val="18"/>
        </w:rPr>
        <w:t xml:space="preserve">WORKPROVE</w:t>
      </w:r>
    </w:p>
    <w:p>
      <w:pPr>
        <w:spacing w:after="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32"/>
          <w:szCs w:val="32"/>
        </w:rPr>
        <w:t xml:space="preserve">Writing Checklist and Version Control Log</w:t>
      </w:r>
    </w:p>
    <w:p>
      <w:pPr>
        <w:pBdr>
          <w:bottom w:val="single" w:color="099260" w:sz="6"/>
        </w:pBdr>
        <w:spacing w:after="105" w:before="50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1A1A1A"/>
          <w:sz w:val="2"/>
          <w:szCs w:val="2"/>
        </w:rPr>
        <w:t xml:space="preserve"/>
      </w:r>
    </w:p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Before you write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9326"/>
      </w:tblGrid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Risk assessment confirms a procedure is the right control for this hazard, rather than the only control.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The task has been walked and talked through with the people who actually perform it.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Any existing procedure covering this task has been found and will be superseded, not duplicated.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Undocumented steps and informal shortcuts have been identified and decided on.</w:t>
            </w:r>
          </w:p>
        </w:tc>
      </w:tr>
    </w:tbl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While you write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9326"/>
      </w:tblGrid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Format and level of detail match the user and the consequences of getting it wrong.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Task risks appear at the start, drawn from the risk assessment.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Each warning or caution sits immediately before the step it refers to.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Every step says what to do and how to confirm it was done correctly.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Language matches the words operators use, and matches the labels on the controls and panels.</w:t>
            </w:r>
          </w:p>
        </w:tc>
      </w:tr>
    </w:tbl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Before you issue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9326"/>
      </w:tblGrid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The procedure has been walked through on site, or against the relevant drawings.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There is no easier but more dangerous alternative to following it.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Version number, effective date and review date are all assigned.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Everyone who needs retraining against this version has been identified.</w:t>
            </w:r>
          </w:p>
        </w:tc>
      </w:tr>
      <w:tr>
        <w:tc>
          <w:tcPr>
            <w:tcW w:type="dxa" w:w="42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9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"/>
              <w:left w:type="dxa" w:w="140"/>
              <w:bottom w:type="dxa" w:w="34"/>
              <w:right w:type="dxa" w:w="0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Training records against the superseded version have been flagged as out of date.</w:t>
            </w:r>
          </w:p>
        </w:tc>
      </w:tr>
    </w:tbl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Five rules worth keeping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Rule</w:t>
            </w:r>
          </w:p>
        </w:tc>
        <w:tc>
          <w:tcPr>
            <w:tcW w:type="dxa" w:w="6346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Why it matters</w:t>
            </w:r>
          </w:p>
        </w:tc>
      </w:tr>
      <w:tr>
        <w:tc>
          <w:tcPr>
            <w:tcW w:type="dxa" w:w="34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CFF2E4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Procedures support competence, they do not replace it</w:t>
            </w:r>
          </w:p>
        </w:tc>
        <w:tc>
          <w:tcPr>
            <w:tcW w:type="dxa" w:w="63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HSE describes procedures and competency as two sides of the same coin that should support each other.</w:t>
            </w:r>
          </w:p>
        </w:tc>
      </w:tr>
      <w:tr>
        <w:tc>
          <w:tcPr>
            <w:tcW w:type="dxa" w:w="34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CFF2E4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More procedures is not more control</w:t>
            </w:r>
          </w:p>
        </w:tc>
        <w:tc>
          <w:tcPr>
            <w:tcW w:type="dxa" w:w="63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Over-reliance on procedures is itself listed among the causes of major accidents, alongside inadequate procedures.</w:t>
            </w:r>
          </w:p>
        </w:tc>
      </w:tr>
      <w:tr>
        <w:tc>
          <w:tcPr>
            <w:tcW w:type="dxa" w:w="34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CFF2E4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Give every procedure a review date</w:t>
            </w:r>
          </w:p>
        </w:tc>
        <w:tc>
          <w:tcPr>
            <w:tcW w:type="dxa" w:w="63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HSE suggests dating each procedure and, where appropriate, marking it with a shelf life.</w:t>
            </w:r>
          </w:p>
        </w:tc>
      </w:tr>
      <w:tr>
        <w:tc>
          <w:tcPr>
            <w:tcW w:type="dxa" w:w="34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CFF2E4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A change of people is a reason to revise</w:t>
            </w:r>
          </w:p>
        </w:tc>
        <w:tc>
          <w:tcPr>
            <w:tcW w:type="dxa" w:w="63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Significant change to process, task, personnel or equipment is a named trigger for revising a procedure.</w:t>
            </w:r>
          </w:p>
        </w:tc>
      </w:tr>
      <w:tr>
        <w:tc>
          <w:tcPr>
            <w:tcW w:type="dxa" w:w="34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CFF2E4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3C325C"/>
                <w:sz w:val="18"/>
                <w:szCs w:val="18"/>
              </w:rPr>
              <w:t xml:space="preserve">Validate by walking it through</w:t>
            </w:r>
          </w:p>
        </w:tc>
        <w:tc>
          <w:tcPr>
            <w:tcW w:type="dxa" w:w="63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 procedure should be formally validated on the plant before it is issued, not after.</w:t>
            </w:r>
          </w:p>
        </w:tc>
      </w:tr>
    </w:tbl>
    <w:p>
      <w:pPr>
        <w:spacing w:after="0" w:before="80"/>
      </w:pPr>
      <w:r>
        <w:rPr>
          <w:rFonts w:ascii="Lexend" w:cs="Lexend" w:eastAsia="Lexend" w:hAnsi="Lexend"/>
          <w:b w:val="false"/>
          <w:bCs w:val="false"/>
          <w:i/>
          <w:iCs/>
          <w:color w:val="6C7280"/>
          <w:sz w:val="15"/>
          <w:szCs w:val="15"/>
        </w:rPr>
        <w:t xml:space="preserve">Drawn from HSE guidance on procedures and on operating procedures, at hse.gov.uk.</w:t>
      </w:r>
    </w:p>
    <w:p>
      <w:pPr>
        <w:spacing w:after="55" w:before="140"/>
      </w:pPr>
      <w:r>
        <w:rPr>
          <w:rFonts w:ascii="Lexend" w:cs="Lexend" w:eastAsia="Lexend" w:hAnsi="Lexend"/>
          <w:b/>
          <w:bCs/>
          <w:i w:val="false"/>
          <w:iCs w:val="false"/>
          <w:color w:val="3C325C"/>
          <w:sz w:val="22"/>
          <w:szCs w:val="22"/>
        </w:rPr>
        <w:t xml:space="preserve">Version control and retraining log</w:t>
      </w:r>
    </w:p>
    <w:p>
      <w:pPr>
        <w:spacing w:after="75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6C7280"/>
          <w:sz w:val="18"/>
          <w:szCs w:val="18"/>
        </w:rPr>
        <w:t xml:space="preserve">Complete one row each time a procedure changes.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1250"/>
        <w:gridCol w:w="2600"/>
        <w:gridCol w:w="1700"/>
        <w:gridCol w:w="1050"/>
        <w:gridCol w:w="1250"/>
        <w:gridCol w:w="1246"/>
      </w:tblGrid>
      <w:tr>
        <w:tc>
          <w:tcPr>
            <w:tcW w:type="dxa" w:w="65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Ver.</w:t>
            </w:r>
          </w:p>
        </w:tc>
        <w:tc>
          <w:tcPr>
            <w:tcW w:type="dxa" w:w="125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Date issued</w:t>
            </w:r>
          </w:p>
        </w:tc>
        <w:tc>
          <w:tcPr>
            <w:tcW w:type="dxa" w:w="26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170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Roles affected</w:t>
            </w:r>
          </w:p>
        </w:tc>
        <w:tc>
          <w:tcPr>
            <w:tcW w:type="dxa" w:w="105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Retrain?</w:t>
            </w:r>
          </w:p>
        </w:tc>
        <w:tc>
          <w:tcPr>
            <w:tcW w:type="dxa" w:w="1250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Reassess?</w:t>
            </w:r>
          </w:p>
        </w:tc>
        <w:tc>
          <w:tcPr>
            <w:tcW w:type="dxa" w:w="1246"/>
            <w:tcBorders>
              <w:top w:val="single" w:color="3C325C" w:sz="4"/>
              <w:left w:val="single" w:color="3C325C" w:sz="4"/>
              <w:bottom w:val="single" w:color="3C325C" w:sz="4"/>
              <w:right w:val="single" w:color="3C325C" w:sz="4"/>
            </w:tcBorders>
            <w:shd w:fill="3C325C" w:color="auto" w:val="clear"/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Records updated</w:t>
            </w:r>
          </w:p>
        </w:tc>
      </w:tr>
      <w:tr>
        <w:tc>
          <w:tcPr>
            <w:tcW w:type="dxa" w:w="6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52"/>
              <w:left w:type="dxa" w:w="105"/>
              <w:bottom w:type="dxa" w:w="52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Lexend" w:cs="Lexend" w:eastAsia="Lexend" w:hAnsi="Lexend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pBdr>
          <w:top w:val="single" w:color="099260" w:sz="6"/>
        </w:pBdr>
        <w:spacing w:after="0" w:before="55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1A1A1A"/>
          <w:sz w:val="2"/>
          <w:szCs w:val="2"/>
        </w:rPr>
        <w:t xml:space="preserve"/>
      </w:r>
    </w:p>
    <w:p>
      <w:pPr>
        <w:spacing w:after="0" w:before="95"/>
      </w:pPr>
      <w:r>
        <w:rPr>
          <w:rFonts w:ascii="Lexend" w:cs="Lexend" w:eastAsia="Lexend" w:hAnsi="Lexend"/>
          <w:b w:val="false"/>
          <w:bCs w:val="false"/>
          <w:i w:val="false"/>
          <w:iCs w:val="false"/>
          <w:color w:val="1A1A1A"/>
          <w:sz w:val="18"/>
          <w:szCs w:val="18"/>
        </w:rPr>
        <w:t xml:space="preserve">Workprove links procedure versions to training records, so each revision flags who needs retraining automatically.</w:t>
      </w:r>
    </w:p>
    <w:p>
      <w:pPr>
        <w:spacing w:after="0" w:before="70"/>
      </w:pPr>
      <w:r>
        <w:rPr>
          <w:rFonts w:ascii="Lexend" w:cs="Lexend" w:eastAsia="Lexend" w:hAnsi="Lexend"/>
          <w:b/>
          <w:bCs/>
          <w:i w:val="false"/>
          <w:iCs w:val="false"/>
          <w:color w:val="099260"/>
          <w:sz w:val="18"/>
          <w:szCs w:val="18"/>
        </w:rPr>
        <w:t xml:space="preserve">workprove.com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exend" w:cs="Lexend" w:eastAsia="Lexend" w:hAnsi="Lexend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2026-10-12T13:53:29.616Z</dcterms:created>
  <dcterms:modified xsi:type="dcterms:W3CDTF">2026-10-12T13:53:29.617Z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