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"/>
      </w:pPr>
    </w:p>
    <w:p>
      <w:pPr>
        <w:spacing w:after="60" w:before="0"/>
      </w:pPr>
      <w:r>
        <w:rPr>
          <w:rFonts w:ascii="Lexend" w:cs="Lexend" w:eastAsia="Lexend" w:hAnsi="Lexend"/>
          <w:b/>
          <w:bCs/>
          <w:color w:val="1B1464"/>
          <w:sz w:val="48"/>
          <w:szCs w:val="48"/>
        </w:rPr>
        <w:t xml:space="preserve">Manufacturing Compliance Inspection</w:t>
      </w:r>
    </w:p>
    <w:p>
      <w:pPr>
        <w:spacing w:after="40" w:before="0"/>
      </w:pPr>
      <w:r>
        <w:rPr>
          <w:rFonts w:ascii="Lexend" w:cs="Lexend" w:eastAsia="Lexend" w:hAnsi="Lexend"/>
          <w:color w:val="546E7A"/>
          <w:sz w:val="28"/>
          <w:szCs w:val="28"/>
        </w:rPr>
        <w:t xml:space="preserve">What Inspectors Actually Check — and How to Be Ready</w:t>
      </w:r>
    </w:p>
    <w:p>
      <w:pPr>
        <w:pBdr>
          <w:bottom w:val="single" w:color="2E7D32" w:sz="10" w:space="6"/>
        </w:pBdr>
        <w:spacing w:after="16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1464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9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4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1B1464"/>
                <w:sz w:val="20"/>
                <w:szCs w:val="20"/>
              </w:rPr>
              <w:t xml:space="preserve">Why this matters</w:t>
            </w:r>
          </w:p>
          <w:p>
            <w:pPr>
              <w:spacing w:before="40"/>
            </w:pPr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Manufacturing is one of the HSE's highest-priority inspection sectors. Inspectors can arrive unannounced under the Health and Safety at Work Act 1974. They look beyond paperwork — they talk to your workers, check your equipment, and test whether your training records reflect what people actually do on the floor.</w:t>
            </w:r>
          </w:p>
        </w:tc>
      </w:tr>
    </w:tbl>
    <w:p>
      <w:pPr>
        <w:spacing w:after="0" w:before="160"/>
      </w:pPr>
    </w:p>
    <w:p>
      <w:pPr>
        <w:pBdr>
          <w:bottom w:val="single" w:color="2E7D32" w:sz="8" w:space="4"/>
        </w:pBdr>
        <w:spacing w:after="80" w:before="280"/>
      </w:pPr>
      <w:r>
        <w:rPr>
          <w:rFonts w:ascii="Lexend" w:cs="Lexend" w:eastAsia="Lexend" w:hAnsi="Lexend"/>
          <w:b/>
          <w:bCs/>
          <w:color w:val="1B1464"/>
          <w:sz w:val="26"/>
          <w:szCs w:val="26"/>
        </w:rPr>
        <w:t xml:space="preserve">The Inspector's Checklist: 5 Core Areas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000"/>
        <w:gridCol w:w="1160"/>
      </w:tblGrid>
      <w:tr>
        <w:trPr>
          <w:tblHeader/>
        </w:trPr>
        <w:tc>
          <w:tcPr>
            <w:tcW w:type="dxa" w:w="2200"/>
            <w:tcBorders>
              <w:top w:val="single" w:color="1B1464" w:sz="1"/>
              <w:left w:val="single" w:color="1B1464" w:sz="1"/>
              <w:bottom w:val="single" w:color="1B1464" w:sz="1"/>
              <w:right w:val="single" w:color="1B1464" w:sz="1"/>
            </w:tcBorders>
            <w:shd w:fill="1B1464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FFFFFF"/>
                <w:sz w:val="18"/>
                <w:szCs w:val="18"/>
              </w:rPr>
              <w:t xml:space="preserve">AREA</w:t>
            </w:r>
          </w:p>
        </w:tc>
        <w:tc>
          <w:tcPr>
            <w:tcW w:type="dxa" w:w="6000"/>
            <w:tcBorders>
              <w:top w:val="single" w:color="1B1464" w:sz="1"/>
              <w:left w:val="single" w:color="1B1464" w:sz="1"/>
              <w:bottom w:val="single" w:color="1B1464" w:sz="1"/>
              <w:right w:val="single" w:color="1B1464" w:sz="1"/>
            </w:tcBorders>
            <w:shd w:fill="1B1464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FFFFFF"/>
                <w:sz w:val="18"/>
                <w:szCs w:val="18"/>
              </w:rPr>
              <w:t xml:space="preserve">WHAT INSPECTORS CHECK</w:t>
            </w:r>
          </w:p>
        </w:tc>
        <w:tc>
          <w:tcPr>
            <w:tcW w:type="dxa" w:w="1160"/>
            <w:tcBorders>
              <w:top w:val="single" w:color="1B1464" w:sz="1"/>
              <w:left w:val="single" w:color="1B1464" w:sz="1"/>
              <w:bottom w:val="single" w:color="1B1464" w:sz="1"/>
              <w:right w:val="single" w:color="1B1464" w:sz="1"/>
            </w:tcBorders>
            <w:shd w:fill="1B1464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Lexend" w:cs="Lexend" w:eastAsia="Lexend" w:hAnsi="Lexend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360"/>
            <w:gridSpan w:val="3"/>
            <w:tcBorders>
              <w:top w:val="single" w:color="2E7D32" w:sz="1"/>
              <w:left w:val="single" w:color="2E7D32" w:sz="1"/>
              <w:bottom w:val="single" w:color="2E7D32" w:sz="1"/>
              <w:right w:val="single" w:color="2E7D32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2E7D32"/>
                <w:sz w:val="20"/>
                <w:szCs w:val="20"/>
              </w:rPr>
              <w:t xml:space="preserve">  1. Training Records &amp; Workforce Competency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Training logs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Complete records of all training completed per employee, including dates, course versions, and sign-off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SOP alignment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Training linked to the current version of Standard Operating Procedures — not an outdated revision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Requalification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Evidence of refresher and requalification cycles, particularly for high-risk tasks and roles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Induction records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Documented inductions for all workers including contractors and temporary staff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Competency evidence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Proof that workers can demonstrate the skills they have been trained on, not just course completion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Role-to-risk match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Training records show each employee's qualifications are appropriate for the specific risks of their role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9360"/>
            <w:gridSpan w:val="3"/>
            <w:tcBorders>
              <w:top w:val="single" w:color="2E7D32" w:sz="1"/>
              <w:left w:val="single" w:color="2E7D32" w:sz="1"/>
              <w:bottom w:val="single" w:color="2E7D32" w:sz="1"/>
              <w:right w:val="single" w:color="2E7D32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2E7D32"/>
                <w:sz w:val="20"/>
                <w:szCs w:val="20"/>
              </w:rPr>
              <w:t xml:space="preserve">  2. Health &amp; Safety Management System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H&amp;S policy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Written health and safety policy signed by senior leadership, current and relevant to operations (required for 5+ employees)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Risk assessments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Suitable, sufficient, and site-specific risk assessments for all significant work activities — not generic copied templates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Safe systems of work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Documented safe working procedures for high-risk tasks including confined spaces, work at height, and chemical handling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Review cycle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Evidence that risk assessments are reviewed regularly and updated when processes change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Worker consultation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Records of safety discussions, toolbox talks, and channels for workers to raise concerns without fear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Competent person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Named, qualified person responsible for H&amp;S leadership — inspector will verify their credentials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9360"/>
            <w:gridSpan w:val="3"/>
            <w:tcBorders>
              <w:top w:val="single" w:color="F57F17" w:sz="1"/>
              <w:left w:val="single" w:color="F57F17" w:sz="1"/>
              <w:bottom w:val="single" w:color="F57F17" w:sz="1"/>
              <w:right w:val="single" w:color="F57F17" w:sz="1"/>
            </w:tcBorders>
            <w:shd w:fill="FFF8E1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F57F17"/>
                <w:sz w:val="20"/>
                <w:szCs w:val="20"/>
              </w:rPr>
              <w:t xml:space="preserve">  3. Equipment Safety &amp; Maintenance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PUWER compliance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Inspection and maintenance records for all work equipment under the Provision and Use of Work Equipment Regulations 1998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LOLER certificates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6-monthly statutory examination certificates for all lifting equipment, valid and readily accessible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COSHH controls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COSHH assessments for all hazardous substances used; PPE provision documented and enforced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Machine guarding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All guards present, functional, and documented — broken or removed guards are an immediate red flag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Maintenance logs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Up-to-date logs showing scheduled maintenance, defect reporting, and resolution of faults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Equipment validation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Evidence that equipment is fit for purpose and calibrated where required by process or regulation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9360"/>
            <w:gridSpan w:val="3"/>
            <w:tcBorders>
              <w:top w:val="single" w:color="2E7D32" w:sz="1"/>
              <w:left w:val="single" w:color="2E7D32" w:sz="1"/>
              <w:bottom w:val="single" w:color="2E7D32" w:sz="1"/>
              <w:right w:val="single" w:color="2E7D32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2E7D32"/>
                <w:sz w:val="20"/>
                <w:szCs w:val="20"/>
              </w:rPr>
              <w:t xml:space="preserve">  4. Incident Management &amp; Reporting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Accident book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Accessible and up-to-date accident book covering all staff including contractors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RIDDOR reports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All reportable injuries, diseases and dangerous occurrences reported to HSE — inspectors check the last 3 years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Near-miss records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Evidence that near misses are reported, investigated, and acted upon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Investigation process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Documented investigation outcomes showing root cause analysis and corrective actions taken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Action follow-through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Evidence that actions identified post-incident have been implemented, not just logged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9360"/>
            <w:gridSpan w:val="3"/>
            <w:tcBorders>
              <w:top w:val="single" w:color="2E7D32" w:sz="1"/>
              <w:left w:val="single" w:color="2E7D32" w:sz="1"/>
              <w:bottom w:val="single" w:color="2E7D32" w:sz="1"/>
              <w:right w:val="single" w:color="2E7D32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2E7D32"/>
                <w:sz w:val="20"/>
                <w:szCs w:val="20"/>
              </w:rPr>
              <w:t xml:space="preserve">  5. Environmental &amp; Site Controls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PPE compliance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Appropriate PPE available, CE-marked, regularly inspected, and actively worn — policy enforced consistently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Housekeeping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No slip or trip hazards; clear walkways, emergency routes unobstructed, equipment stored correctly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Fire safety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Fire risk assessment current; escape routes clear; extinguishers inspected; evacuation plan tested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Noise and dust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Controls in place for noise exposure and dust suppression; monitoring records available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Chemical storage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Hazardous substances stored correctly with spill prevention measures and appropriate signage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22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b/>
                <w:bCs/>
                <w:color w:val="546E7A"/>
                <w:sz w:val="18"/>
                <w:szCs w:val="18"/>
              </w:rPr>
              <w:t xml:space="preserve">First aid</w:t>
            </w:r>
          </w:p>
        </w:tc>
        <w:tc>
          <w:tcPr>
            <w:tcW w:type="dxa" w:w="600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Adequate first aid provision for size and risk of site; named first aiders with valid certificates</w:t>
            </w:r>
          </w:p>
        </w:tc>
        <w:tc>
          <w:tcPr>
            <w:tcW w:type="dxa" w:w="1160"/>
            <w:tcBorders>
              <w:top w:val="single" w:color="D0D5E8" w:sz="1"/>
              <w:left w:val="single" w:color="D0D5E8" w:sz="1"/>
              <w:bottom w:val="single" w:color="D0D5E8" w:sz="1"/>
              <w:right w:val="single" w:color="D0D5E8" w:sz="1"/>
            </w:tcBorders>
            <w:shd w:fill="ECEF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Lexend" w:cs="Lexend" w:eastAsia="Lexend" w:hAnsi="Lexend"/>
                <w:color w:val="546E7A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0" w:before="200"/>
      </w:pPr>
    </w:p>
    <w:p>
      <w:pPr>
        <w:pBdr>
          <w:bottom w:val="single" w:color="2E7D32" w:sz="8" w:space="4"/>
        </w:pBdr>
        <w:spacing w:after="80" w:before="280"/>
      </w:pPr>
      <w:r>
        <w:rPr>
          <w:rFonts w:ascii="Lexend" w:cs="Lexend" w:eastAsia="Lexend" w:hAnsi="Lexend"/>
          <w:b/>
          <w:bCs/>
          <w:color w:val="B71C1C"/>
          <w:sz w:val="26"/>
          <w:szCs w:val="26"/>
        </w:rPr>
        <w:t xml:space="preserve">Common Failures That Trigger Enforcement Action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71C1C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9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B71C1C"/>
                <w:sz w:val="20"/>
                <w:szCs w:val="20"/>
              </w:rPr>
              <w:t xml:space="preserve">Instant red flags inspectors are trained to spot:</w:t>
            </w:r>
          </w:p>
          <w:p>
            <w:pPr>
              <w:spacing w:before="40"/>
            </w:pPr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Missing or incomplete training records  |  Risk assessments that are generic or outdated  |  No evidence of refresher training cycles  |  Training completed but not linked to current SOP version  |  Equipment maintenance logs not up to date  |  RIDDOR incidents not reported  |  Workers unable to describe their own safety responsibilities</w:t>
            </w:r>
          </w:p>
        </w:tc>
      </w:tr>
    </w:tbl>
    <w:p>
      <w:pPr>
        <w:spacing w:after="0" w:before="80"/>
      </w:pPr>
    </w:p>
    <w:p>
      <w:pPr>
        <w:spacing w:after="40" w:before="40"/>
      </w:pPr>
      <w:r>
        <w:rPr>
          <w:rFonts w:ascii="Lexend" w:cs="Lexend" w:eastAsia="Lexend" w:hAnsi="Lexend"/>
          <w:color w:val="546E7A"/>
          <w:sz w:val="20"/>
          <w:szCs w:val="20"/>
        </w:rPr>
        <w:t xml:space="preserve">A manufacturing company in the Midlands received a £45,000 fine after an HSE inspection found it had no adequate training records and multiple uncontrolled equipment risks. The inspector's first question was: 'Can you show me that this worker is trained and competent for this task?' The company could not.</w:t>
      </w:r>
    </w:p>
    <w:p>
      <w:pPr>
        <w:spacing w:after="0" w:before="200"/>
      </w:pPr>
    </w:p>
    <w:p>
      <w:pPr>
        <w:pBdr>
          <w:bottom w:val="single" w:color="2E7D32" w:sz="8" w:space="4"/>
        </w:pBdr>
        <w:spacing w:after="80" w:before="280"/>
      </w:pPr>
      <w:r>
        <w:rPr>
          <w:rFonts w:ascii="Lexend" w:cs="Lexend" w:eastAsia="Lexend" w:hAnsi="Lexend"/>
          <w:b/>
          <w:bCs/>
          <w:color w:val="1B1464"/>
          <w:sz w:val="26"/>
          <w:szCs w:val="26"/>
        </w:rPr>
        <w:t xml:space="preserve">What Good Looks Like vs What Gets You a Notice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80"/>
            </w:tcMar>
          </w:tcPr>
          <w:tbl>
            <w:tblPr>
              <w:tblW w:type="dxa" w:w="4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380"/>
            </w:tblGrid>
            <w:tr>
              <w:tc>
                <w:tcPr>
                  <w:tcW w:type="dxa" w:w="4380"/>
                  <w:tcBorders>
                    <w:top w:val="single" w:color="2E7D32" w:sz="6"/>
                    <w:left w:val="single" w:color="D0D5E8" w:sz="1"/>
                    <w:bottom w:val="single" w:color="D0D5E8" w:sz="1"/>
                    <w:right w:val="single" w:color="D0D5E8" w:sz="1"/>
                  </w:tcBorders>
                  <w:shd w:fill="E8F5E9" w:val="clear"/>
                  <w:tcMar>
                    <w:top w:type="dxa" w:w="140"/>
                    <w:left w:type="dxa" w:w="160"/>
                    <w:bottom w:type="dxa" w:w="140"/>
                    <w:right w:type="dxa" w:w="16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Lexend" w:cs="Lexend" w:eastAsia="Lexend" w:hAnsi="Lexend"/>
                      <w:b/>
                      <w:bCs/>
                      <w:color w:val="2E7D32"/>
                      <w:sz w:val="20"/>
                      <w:szCs w:val="20"/>
                    </w:rPr>
                    <w:t xml:space="preserve">Green flags — what inspectors want to see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Training records instantly accessible per employee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Each record tied to a specific SOP version and date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Refresher cycles documented and scheduled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Workers can explain their own safety responsibilities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Risk assessments are site-specific and recently reviewed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Near misses reported and acted upon</w:t>
                  </w:r>
                </w:p>
              </w:tc>
            </w:tr>
          </w:tbl>
          <w:p/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80"/>
              <w:bottom w:type="dxa" w:w="0"/>
              <w:right w:type="dxa" w:w="0"/>
            </w:tcMar>
          </w:tcPr>
          <w:tbl>
            <w:tblPr>
              <w:tblW w:type="dxa" w:w="4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380"/>
            </w:tblGrid>
            <w:tr>
              <w:tc>
                <w:tcPr>
                  <w:tcW w:type="dxa" w:w="4380"/>
                  <w:tcBorders>
                    <w:top w:val="single" w:color="B71C1C" w:sz="6"/>
                    <w:left w:val="single" w:color="D0D5E8" w:sz="1"/>
                    <w:bottom w:val="single" w:color="D0D5E8" w:sz="1"/>
                    <w:right w:val="single" w:color="D0D5E8" w:sz="1"/>
                  </w:tcBorders>
                  <w:shd w:fill="FFEBEE" w:val="clear"/>
                  <w:tcMar>
                    <w:top w:type="dxa" w:w="140"/>
                    <w:left w:type="dxa" w:w="160"/>
                    <w:bottom w:type="dxa" w:w="140"/>
                    <w:right w:type="dxa" w:w="16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Lexend" w:cs="Lexend" w:eastAsia="Lexend" w:hAnsi="Lexend"/>
                      <w:b/>
                      <w:bCs/>
                      <w:color w:val="B71C1C"/>
                      <w:sz w:val="20"/>
                      <w:szCs w:val="20"/>
                    </w:rPr>
                    <w:t xml:space="preserve">Red flags — what leads to enforcement notices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Training done but not documented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Records exist but linked to outdated procedure versions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No system to track when refreshers are due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Workers unsure of hazards in their own role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Generic risk assessment templates, not tailored to site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0" w:before="30"/>
                  </w:pPr>
                  <w:r>
                    <w:rPr>
                      <w:rFonts w:ascii="Lexend" w:cs="Lexend" w:eastAsia="Lexend" w:hAnsi="Lexend"/>
                      <w:color w:val="2C2C3A"/>
                      <w:sz w:val="18"/>
                      <w:szCs w:val="18"/>
                    </w:rPr>
                    <w:t xml:space="preserve">Accident book missing or inaccessible</w:t>
                  </w:r>
                </w:p>
              </w:tc>
            </w:tr>
          </w:tbl>
          <w:p/>
        </w:tc>
      </w:tr>
    </w:tbl>
    <w:p>
      <w:pPr>
        <w:spacing w:after="0" w:before="200"/>
      </w:pPr>
    </w:p>
    <w:p>
      <w:pPr>
        <w:pBdr>
          <w:bottom w:val="single" w:color="2E7D32" w:sz="8" w:space="4"/>
        </w:pBdr>
        <w:spacing w:after="80" w:before="280"/>
      </w:pPr>
      <w:r>
        <w:rPr>
          <w:rFonts w:ascii="Lexend" w:cs="Lexend" w:eastAsia="Lexend" w:hAnsi="Lexend"/>
          <w:b/>
          <w:bCs/>
          <w:color w:val="1B1464"/>
          <w:sz w:val="26"/>
          <w:szCs w:val="26"/>
        </w:rPr>
        <w:t xml:space="preserve">How Workprove Supports Inspection Readiness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1464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9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4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1B1464"/>
                <w:sz w:val="20"/>
                <w:szCs w:val="20"/>
              </w:rPr>
              <w:t xml:space="preserve">One view. Every worker. Every qualification. Always current.</w:t>
            </w:r>
          </w:p>
          <w:p>
            <w:pPr>
              <w:spacing w:before="40"/>
            </w:pPr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Workprove's Training Skills Matrix gives manufacturing businesses a single, auditable record of every employee's training status — mapped to their role, their site, and the specific risks they face. When an inspector asks 'Is this person qualified to operate this machine?' — you have the answer in seconds.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50"/>
        <w:gridCol w:w="3050"/>
        <w:gridCol w:w="3260"/>
      </w:tblGrid>
      <w:tr>
        <w:tc>
          <w:tcPr>
            <w:tcW w:type="dxa" w:w="3050"/>
            <w:tcBorders>
              <w:top w:val="single" w:color="2E7D32" w:sz="6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2E7D32"/>
                <w:sz w:val="20"/>
                <w:szCs w:val="20"/>
              </w:rPr>
              <w:t xml:space="preserve">Training Skills Matrix</w:t>
            </w:r>
          </w:p>
          <w:p>
            <w:pPr>
              <w:spacing w:before="60"/>
            </w:pPr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Map every employee's qualifications to their role. Spot gaps before an inspector does.</w:t>
            </w:r>
          </w:p>
        </w:tc>
        <w:tc>
          <w:tcPr>
            <w:tcW w:type="dxa" w:w="3050"/>
            <w:tcBorders>
              <w:top w:val="single" w:color="1565C0" w:sz="6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1565C0"/>
                <w:sz w:val="20"/>
                <w:szCs w:val="20"/>
              </w:rPr>
              <w:t xml:space="preserve">Workpass Certification</w:t>
            </w:r>
          </w:p>
          <w:p>
            <w:pPr>
              <w:spacing w:before="60"/>
            </w:pPr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Digitally verified e-certificates your supply chain and inspectors can trust instantly.</w:t>
            </w:r>
          </w:p>
        </w:tc>
        <w:tc>
          <w:tcPr>
            <w:tcW w:type="dxa" w:w="3260"/>
            <w:tcBorders>
              <w:top w:val="single" w:color="F57F17" w:sz="6"/>
              <w:left w:val="single" w:color="D0D5E8" w:sz="1"/>
              <w:bottom w:val="single" w:color="D0D5E8" w:sz="1"/>
              <w:right w:val="single" w:color="D0D5E8" w:sz="1"/>
            </w:tcBorders>
            <w:shd w:fill="FFFFFF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rFonts w:ascii="Lexend" w:cs="Lexend" w:eastAsia="Lexend" w:hAnsi="Lexend"/>
                <w:b/>
                <w:bCs/>
                <w:color w:val="F57F17"/>
                <w:sz w:val="20"/>
                <w:szCs w:val="20"/>
              </w:rPr>
              <w:t xml:space="preserve">CourseCloud Delivery</w:t>
            </w:r>
          </w:p>
          <w:p>
            <w:pPr>
              <w:spacing w:before="60"/>
            </w:pPr>
            <w:r>
              <w:rPr>
                <w:rFonts w:ascii="Lexend" w:cs="Lexend" w:eastAsia="Lexend" w:hAnsi="Lexend"/>
                <w:color w:val="2C2C3A"/>
                <w:sz w:val="18"/>
                <w:szCs w:val="18"/>
              </w:rPr>
              <w:t xml:space="preserve">Schedule and track refresher and compliance training with full audit trail included.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1464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Lexend" w:cs="Lexend" w:eastAsia="Lexend" w:hAnsi="Lexend"/>
                <w:b/>
                <w:bCs/>
                <w:color w:val="FFFFFF"/>
                <w:sz w:val="24"/>
                <w:szCs w:val="24"/>
              </w:rPr>
              <w:t xml:space="preserve">See your workforce compliance gaps before an inspector does.</w:t>
            </w:r>
          </w:p>
          <w:p>
            <w:pPr>
              <w:spacing w:before="80"/>
              <w:jc w:val="center"/>
            </w:pPr>
            <w:r>
              <w:rPr>
                <w:rFonts w:ascii="Lexend" w:cs="Lexend" w:eastAsia="Lexend" w:hAnsi="Lexend"/>
                <w:color w:val="B9F6CA"/>
                <w:sz w:val="20"/>
                <w:szCs w:val="20"/>
              </w:rPr>
              <w:t xml:space="preserve">Book a free demo at workprove.com  |  Speak to our team about your sector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906"/>
    </w:tblGrid>
    <w:tr>
      <w:tc>
        <w:tcPr>
          <w:tcW w:type="dxa" w:w="6000"/>
          <w:tcBorders>
            <w:top w:val="single" w:color="D0D5E8" w:sz="4" w:space="2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0"/>
            <w:right w:type="dxa" w:w="0"/>
          </w:tcMar>
        </w:tcPr>
        <w:p>
          <w:r>
            <w:rPr>
              <w:rFonts w:ascii="Lexend" w:cs="Lexend" w:eastAsia="Lexend" w:hAnsi="Lexend"/>
              <w:color w:val="546E7A"/>
              <w:sz w:val="16"/>
              <w:szCs w:val="16"/>
            </w:rPr>
            <w:t xml:space="preserve">Workprove Training Skills Matrix  |  Stay audit-ready, always.</w:t>
          </w:r>
        </w:p>
      </w:tc>
      <w:tc>
        <w:tcPr>
          <w:tcW w:type="dxa" w:w="3906"/>
          <w:tcBorders>
            <w:top w:val="single" w:color="D0D5E8" w:sz="4" w:space="2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Lexend" w:cs="Lexend" w:eastAsia="Lexend" w:hAnsi="Lexend"/>
              <w:color w:val="546E7A"/>
              <w:sz w:val="16"/>
              <w:szCs w:val="16"/>
            </w:rPr>
            <w:t xml:space="preserve">Workprove  workprove.com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2906"/>
    </w:tblGrid>
    <w:tr>
      <w:tc>
        <w:tcPr>
          <w:tcW w:type="dxa" w:w="7000"/>
          <w:tcBorders>
            <w:top w:val="none" w:color="FFFFFF" w:sz="0"/>
            <w:left w:val="none" w:color="FFFFFF" w:sz="0"/>
            <w:bottom w:val="single" w:color="2E7D32" w:sz="6" w:space="2"/>
            <w:right w:val="none" w:color="FFFFFF" w:sz="0"/>
          </w:tcBorders>
          <w:tcMar>
            <w:top w:type="dxa" w:w="60"/>
            <w:left w:type="dxa" w:w="0"/>
            <w:bottom w:type="dxa" w:w="80"/>
            <w:right w:type="dxa" w:w="0"/>
          </w:tcMar>
          <w:vAlign w:val="bottom"/>
        </w:tcPr>
        <w:p>
          <w:r>
            <w:rPr>
              <w:rFonts w:ascii="Lexend" w:cs="Lexend" w:eastAsia="Lexend" w:hAnsi="Lexend"/>
              <w:b/>
              <w:bCs/>
              <w:color w:val="1B1464"/>
              <w:sz w:val="28"/>
              <w:szCs w:val="28"/>
            </w:rPr>
            <w:t xml:space="preserve">WORKPROVE</w:t>
          </w:r>
          <w:r>
            <w:rPr>
              <w:rFonts w:ascii="Lexend" w:cs="Lexend" w:eastAsia="Lexend" w:hAnsi="Lexend"/>
              <w:color w:val="546E7A"/>
              <w:sz w:val="22"/>
              <w:szCs w:val="22"/>
            </w:rPr>
            <w:t xml:space="preserve">  |  Manufacturing Compliance</w:t>
          </w:r>
        </w:p>
      </w:tc>
      <w:tc>
        <w:tcPr>
          <w:tcW w:type="dxa" w:w="2906"/>
          <w:tcBorders>
            <w:top w:val="none" w:color="FFFFFF" w:sz="0"/>
            <w:left w:val="none" w:color="FFFFFF" w:sz="0"/>
            <w:bottom w:val="single" w:color="2E7D32" w:sz="6" w:space="2"/>
            <w:right w:val="none" w:color="FFFFFF" w:sz="0"/>
          </w:tcBorders>
          <w:tcMar>
            <w:top w:type="dxa" w:w="60"/>
            <w:left w:type="dxa" w:w="0"/>
            <w:bottom w:type="dxa" w:w="80"/>
            <w:right w:type="dxa" w:w="0"/>
          </w:tcMar>
          <w:vAlign w:val="bottom"/>
        </w:tcPr>
        <w:p>
          <w:pPr>
            <w:jc w:val="right"/>
          </w:pPr>
          <w:r>
            <w:rPr>
              <w:rFonts w:ascii="Lexend" w:cs="Lexend" w:eastAsia="Lexend" w:hAnsi="Lexend"/>
              <w:color w:val="1565C0"/>
              <w:sz w:val="18"/>
              <w:szCs w:val="18"/>
            </w:rPr>
            <w:t xml:space="preserve">workprove.com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exend" w:cs="Lexend" w:eastAsia="Lexend" w:hAnsi="Lexen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2026-05-19T13:52:47.699Z</dcterms:created>
  <dcterms:modified xsi:type="dcterms:W3CDTF">2026-05-19T13:52:47.699Z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